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20"/>
        <w:tblW w:w="15451" w:type="dxa"/>
        <w:tblLook w:val="04A0" w:firstRow="1" w:lastRow="0" w:firstColumn="1" w:lastColumn="0" w:noHBand="0" w:noVBand="1"/>
      </w:tblPr>
      <w:tblGrid>
        <w:gridCol w:w="987"/>
        <w:gridCol w:w="1446"/>
        <w:gridCol w:w="1446"/>
        <w:gridCol w:w="1446"/>
        <w:gridCol w:w="62"/>
        <w:gridCol w:w="1385"/>
        <w:gridCol w:w="1446"/>
        <w:gridCol w:w="1447"/>
        <w:gridCol w:w="116"/>
        <w:gridCol w:w="1331"/>
        <w:gridCol w:w="87"/>
        <w:gridCol w:w="1359"/>
        <w:gridCol w:w="58"/>
        <w:gridCol w:w="1388"/>
        <w:gridCol w:w="1447"/>
      </w:tblGrid>
      <w:tr w:rsidR="00E20FB2" w14:paraId="288D6033" w14:textId="77777777" w:rsidTr="00AA0E4F">
        <w:tc>
          <w:tcPr>
            <w:tcW w:w="987" w:type="dxa"/>
            <w:tcBorders>
              <w:top w:val="nil"/>
              <w:left w:val="nil"/>
            </w:tcBorders>
          </w:tcPr>
          <w:p w14:paraId="2A45B7BE" w14:textId="77777777" w:rsidR="00E20FB2" w:rsidRPr="00E20FB2" w:rsidRDefault="00E20FB2" w:rsidP="00AA0E4F">
            <w:pPr>
              <w:rPr>
                <w:rFonts w:ascii="Twinkl" w:hAnsi="Twinkl"/>
              </w:rPr>
            </w:pPr>
          </w:p>
        </w:tc>
        <w:tc>
          <w:tcPr>
            <w:tcW w:w="1446" w:type="dxa"/>
            <w:shd w:val="clear" w:color="auto" w:fill="92D050"/>
          </w:tcPr>
          <w:p w14:paraId="176E5A1F" w14:textId="77777777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1</w:t>
            </w:r>
          </w:p>
          <w:p w14:paraId="5921570B" w14:textId="5391B234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92D050"/>
          </w:tcPr>
          <w:p w14:paraId="2B9F9D99" w14:textId="1F55647C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1446" w:type="dxa"/>
            <w:shd w:val="clear" w:color="auto" w:fill="92D050"/>
          </w:tcPr>
          <w:p w14:paraId="6243101A" w14:textId="3BB392E4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1447" w:type="dxa"/>
            <w:gridSpan w:val="2"/>
            <w:shd w:val="clear" w:color="auto" w:fill="92D050"/>
          </w:tcPr>
          <w:p w14:paraId="5D1AEA10" w14:textId="581D0744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1446" w:type="dxa"/>
            <w:shd w:val="clear" w:color="auto" w:fill="92D050"/>
          </w:tcPr>
          <w:p w14:paraId="6840E9DB" w14:textId="00D14643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1447" w:type="dxa"/>
            <w:shd w:val="clear" w:color="auto" w:fill="92D050"/>
          </w:tcPr>
          <w:p w14:paraId="2461786E" w14:textId="013C12EB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1447" w:type="dxa"/>
            <w:gridSpan w:val="2"/>
            <w:shd w:val="clear" w:color="auto" w:fill="92D050"/>
          </w:tcPr>
          <w:p w14:paraId="4FA6B55C" w14:textId="01C6022B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7</w:t>
            </w:r>
          </w:p>
        </w:tc>
        <w:tc>
          <w:tcPr>
            <w:tcW w:w="1446" w:type="dxa"/>
            <w:gridSpan w:val="2"/>
            <w:shd w:val="clear" w:color="auto" w:fill="92D050"/>
          </w:tcPr>
          <w:p w14:paraId="4988733F" w14:textId="77BEDD82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8</w:t>
            </w:r>
          </w:p>
        </w:tc>
        <w:tc>
          <w:tcPr>
            <w:tcW w:w="1446" w:type="dxa"/>
            <w:gridSpan w:val="2"/>
            <w:shd w:val="clear" w:color="auto" w:fill="92D050"/>
          </w:tcPr>
          <w:p w14:paraId="12BA1626" w14:textId="3E77A7A1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9</w:t>
            </w:r>
          </w:p>
        </w:tc>
        <w:tc>
          <w:tcPr>
            <w:tcW w:w="1447" w:type="dxa"/>
            <w:shd w:val="clear" w:color="auto" w:fill="92D050"/>
          </w:tcPr>
          <w:p w14:paraId="07F0769E" w14:textId="138F0591" w:rsidR="00E20FB2" w:rsidRPr="00AA0E4F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Week 10</w:t>
            </w:r>
          </w:p>
        </w:tc>
      </w:tr>
      <w:tr w:rsidR="003F5E19" w:rsidRPr="00933D17" w14:paraId="1D540B62" w14:textId="77777777" w:rsidTr="00AA0E4F">
        <w:trPr>
          <w:cantSplit/>
          <w:trHeight w:val="2651"/>
        </w:trPr>
        <w:tc>
          <w:tcPr>
            <w:tcW w:w="987" w:type="dxa"/>
            <w:shd w:val="clear" w:color="auto" w:fill="92D050"/>
            <w:textDirection w:val="btLr"/>
          </w:tcPr>
          <w:p w14:paraId="52B04052" w14:textId="2A3B2678" w:rsidR="003F5E19" w:rsidRPr="00933D17" w:rsidRDefault="003F5E19" w:rsidP="00AA0E4F">
            <w:pPr>
              <w:ind w:left="113" w:right="113"/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Autumn</w:t>
            </w:r>
          </w:p>
        </w:tc>
        <w:tc>
          <w:tcPr>
            <w:tcW w:w="7231" w:type="dxa"/>
            <w:gridSpan w:val="6"/>
          </w:tcPr>
          <w:p w14:paraId="20DD61E1" w14:textId="734A7297" w:rsidR="003F5E19" w:rsidRPr="00AA0E4F" w:rsidRDefault="003F5E19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Getting Ready to Write</w:t>
            </w:r>
          </w:p>
          <w:p w14:paraId="0A1B097D" w14:textId="2C23564C" w:rsidR="003F5E19" w:rsidRPr="00AA0E4F" w:rsidRDefault="003F5E19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Expanded noun phrases</w:t>
            </w:r>
          </w:p>
          <w:p w14:paraId="62B2766D" w14:textId="3960A78C" w:rsidR="003F5E19" w:rsidRPr="00AA0E4F" w:rsidRDefault="003F5E19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Full stops, capital letters, exclamation marks, </w:t>
            </w:r>
            <w:r w:rsidR="00F24E17"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questions marks,</w:t>
            </w:r>
          </w:p>
          <w:p w14:paraId="4C088491" w14:textId="35E755E2" w:rsidR="00F24E17" w:rsidRPr="00AA0E4F" w:rsidRDefault="00F24E17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Grammatical patterns in a sentence that indicate a question, a command, an exclamation and a statement</w:t>
            </w:r>
          </w:p>
          <w:p w14:paraId="06D69E0A" w14:textId="50D73125" w:rsidR="00F24E17" w:rsidRPr="00AA0E4F" w:rsidRDefault="00F24E17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Co-ordination (or, but, and)</w:t>
            </w:r>
          </w:p>
          <w:p w14:paraId="6A85343A" w14:textId="31C315EB" w:rsidR="00F24E17" w:rsidRPr="00AA0E4F" w:rsidRDefault="00F24E17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Subordination (when, if, that and because)</w:t>
            </w:r>
          </w:p>
          <w:p w14:paraId="242CB3C9" w14:textId="3E0FFAD6" w:rsidR="00F24E17" w:rsidRPr="00AA0E4F" w:rsidRDefault="00F24E17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Commas for a list</w:t>
            </w:r>
          </w:p>
          <w:p w14:paraId="0616CB5F" w14:textId="05E24EAD" w:rsidR="00F24E17" w:rsidRPr="00AA0E4F" w:rsidRDefault="00AA0E4F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Apostrophes</w:t>
            </w:r>
            <w:r w:rsidR="00F24E17"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for possession where letters are missing</w:t>
            </w:r>
          </w:p>
          <w:p w14:paraId="5F119B49" w14:textId="7D7B0396" w:rsidR="00F24E17" w:rsidRPr="00AA0E4F" w:rsidRDefault="00F24E17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Present and past tense</w:t>
            </w:r>
          </w:p>
          <w:p w14:paraId="43AD9AE1" w14:textId="0ADD9FDC" w:rsidR="003F5E19" w:rsidRPr="00AA0E4F" w:rsidRDefault="003F5E19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gridSpan w:val="3"/>
          </w:tcPr>
          <w:p w14:paraId="7D08AB88" w14:textId="5C427E0A" w:rsidR="003F5E19" w:rsidRPr="00AA0E4F" w:rsidRDefault="00F24E17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Determiners</w:t>
            </w:r>
          </w:p>
          <w:p w14:paraId="3F923834" w14:textId="77777777" w:rsidR="003F5E19" w:rsidRPr="00AA0E4F" w:rsidRDefault="003F5E19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  <w:p w14:paraId="485286FA" w14:textId="4201D165" w:rsidR="003F5E19" w:rsidRPr="00AA0E4F" w:rsidRDefault="00F24E17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‘an’ or ‘a’ before a word with a consonant or a vowel</w:t>
            </w:r>
          </w:p>
        </w:tc>
        <w:tc>
          <w:tcPr>
            <w:tcW w:w="4339" w:type="dxa"/>
            <w:gridSpan w:val="5"/>
            <w:shd w:val="clear" w:color="auto" w:fill="FFFFFF" w:themeFill="background1"/>
          </w:tcPr>
          <w:p w14:paraId="2D41E659" w14:textId="77777777" w:rsidR="003F5E19" w:rsidRPr="00AA0E4F" w:rsidRDefault="003F5E19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Conjunctions</w:t>
            </w:r>
          </w:p>
          <w:p w14:paraId="542EA06C" w14:textId="77777777" w:rsidR="003F5E19" w:rsidRPr="00AA0E4F" w:rsidRDefault="003F5E19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2C9022D4" w14:textId="54190007" w:rsidR="003F5E19" w:rsidRPr="00AA0E4F" w:rsidRDefault="00F24E17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Extending conjunctions; to include; when, because, although and if</w:t>
            </w:r>
          </w:p>
          <w:p w14:paraId="45615167" w14:textId="5E22F272" w:rsidR="00F24E17" w:rsidRPr="00AA0E4F" w:rsidRDefault="00F24E17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</w:t>
            </w:r>
            <w:proofErr w:type="gramStart"/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an</w:t>
            </w:r>
            <w:proofErr w:type="gramEnd"/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conjunction to express time and cause</w:t>
            </w:r>
          </w:p>
          <w:p w14:paraId="0117D08D" w14:textId="4E2CD469" w:rsidR="003F5E19" w:rsidRPr="00AA0E4F" w:rsidRDefault="00F24E17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Express time, place and cause using conjunctions [for example, when, before, after, while, so, because]</w:t>
            </w:r>
          </w:p>
        </w:tc>
      </w:tr>
      <w:tr w:rsidR="00AA0E4F" w:rsidRPr="00933D17" w14:paraId="1A0078B0" w14:textId="77777777" w:rsidTr="00AA0E4F">
        <w:trPr>
          <w:cantSplit/>
          <w:trHeight w:val="3289"/>
        </w:trPr>
        <w:tc>
          <w:tcPr>
            <w:tcW w:w="987" w:type="dxa"/>
            <w:shd w:val="clear" w:color="auto" w:fill="92D050"/>
            <w:textDirection w:val="btLr"/>
          </w:tcPr>
          <w:p w14:paraId="42436003" w14:textId="006F83F4" w:rsidR="00AA0E4F" w:rsidRPr="00933D17" w:rsidRDefault="00AA0E4F" w:rsidP="00AA0E4F">
            <w:pPr>
              <w:ind w:left="113" w:right="113"/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Spring</w:t>
            </w:r>
          </w:p>
        </w:tc>
        <w:tc>
          <w:tcPr>
            <w:tcW w:w="4400" w:type="dxa"/>
            <w:gridSpan w:val="4"/>
          </w:tcPr>
          <w:p w14:paraId="218F939C" w14:textId="265552F9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Adverbs</w:t>
            </w:r>
          </w:p>
          <w:p w14:paraId="214B472E" w14:textId="09AA277C" w:rsidR="00AA0E4F" w:rsidRPr="00AA0E4F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adverbs to express time and cause </w:t>
            </w:r>
          </w:p>
          <w:p w14:paraId="03BF924E" w14:textId="571039BD" w:rsidR="00AA0E4F" w:rsidRPr="00AA0E4F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>Express time, place and cause using adverbs [for example, then, next, soon, therefore]</w:t>
            </w:r>
          </w:p>
        </w:tc>
        <w:tc>
          <w:tcPr>
            <w:tcW w:w="4394" w:type="dxa"/>
            <w:gridSpan w:val="4"/>
          </w:tcPr>
          <w:p w14:paraId="6CEE94B6" w14:textId="741B268A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Prepositions</w:t>
            </w:r>
          </w:p>
          <w:p w14:paraId="6D6A0738" w14:textId="691E4901" w:rsidR="00AA0E4F" w:rsidRPr="00AA0E4F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prepositions to express time and cause </w:t>
            </w:r>
          </w:p>
          <w:p w14:paraId="17A3CE21" w14:textId="312164A1" w:rsidR="00AA0E4F" w:rsidRPr="00AA0E4F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Express time, place and cause using prepositions [for example, before, after, during, in, because of] </w:t>
            </w:r>
          </w:p>
          <w:p w14:paraId="01894373" w14:textId="77777777" w:rsidR="00AA0E4F" w:rsidRPr="00AA0E4F" w:rsidRDefault="00AA0E4F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  <w:p w14:paraId="75172A6D" w14:textId="046CAD8D" w:rsidR="00AA0E4F" w:rsidRPr="00AA0E4F" w:rsidRDefault="00AA0E4F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3BD27104" w14:textId="77777777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Speech</w:t>
            </w:r>
          </w:p>
          <w:p w14:paraId="1058EA14" w14:textId="77777777" w:rsidR="00AA0E4F" w:rsidRPr="00AA0E4F" w:rsidRDefault="00AA0E4F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  <w:p w14:paraId="2C2EFDA2" w14:textId="3E18C9B9" w:rsidR="00AA0E4F" w:rsidRPr="00AA0E4F" w:rsidRDefault="00AA0E4F" w:rsidP="00AA0E4F">
            <w:pPr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Introduction to inverted commas to punctuate direct speech </w:t>
            </w:r>
          </w:p>
          <w:p w14:paraId="13555E2E" w14:textId="77777777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401C68E7" w14:textId="36B6E17D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1708D71" w14:textId="628E6DBE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Tenses</w:t>
            </w:r>
          </w:p>
          <w:p w14:paraId="36F3F089" w14:textId="77777777" w:rsidR="00AA0E4F" w:rsidRPr="00AA0E4F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the present perfect form of verbs instead of the simple past [for example, He has gone out to play contrasted with He went out to play] </w:t>
            </w:r>
          </w:p>
          <w:p w14:paraId="383AA075" w14:textId="10B6269C" w:rsidR="00AA0E4F" w:rsidRPr="00AA0E4F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Using the present perfect form of verbs in contrast to the past tense </w:t>
            </w:r>
          </w:p>
          <w:p w14:paraId="0D15057E" w14:textId="77777777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6971AAFE" w14:textId="12278DC4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</w:tc>
      </w:tr>
      <w:tr w:rsidR="004E1B52" w:rsidRPr="00933D17" w14:paraId="0693F388" w14:textId="77777777" w:rsidTr="00AA0E4F">
        <w:trPr>
          <w:cantSplit/>
          <w:trHeight w:val="2258"/>
        </w:trPr>
        <w:tc>
          <w:tcPr>
            <w:tcW w:w="987" w:type="dxa"/>
            <w:shd w:val="clear" w:color="auto" w:fill="92D050"/>
            <w:textDirection w:val="btLr"/>
          </w:tcPr>
          <w:p w14:paraId="3848E55F" w14:textId="706AFDA6" w:rsidR="004E1B52" w:rsidRPr="00933D17" w:rsidRDefault="004E1B52" w:rsidP="00AA0E4F">
            <w:pPr>
              <w:ind w:left="113" w:right="113"/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Summer</w:t>
            </w:r>
          </w:p>
        </w:tc>
        <w:tc>
          <w:tcPr>
            <w:tcW w:w="5785" w:type="dxa"/>
            <w:gridSpan w:val="5"/>
          </w:tcPr>
          <w:p w14:paraId="74C9C962" w14:textId="323F1579" w:rsidR="004E1B52" w:rsidRPr="00AA0E4F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Paragraphs</w:t>
            </w:r>
          </w:p>
          <w:p w14:paraId="68CAA7A8" w14:textId="77777777" w:rsidR="00AA0E4F" w:rsidRPr="00AA0E4F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Introduction to paragraphs as a way to group related material </w:t>
            </w:r>
          </w:p>
          <w:p w14:paraId="418EB504" w14:textId="77777777" w:rsidR="00AA0E4F" w:rsidRPr="00AA0E4F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Headings and sub-headings to aid presentation </w:t>
            </w:r>
          </w:p>
          <w:p w14:paraId="1FC876C0" w14:textId="26C182FB" w:rsidR="004E1B52" w:rsidRPr="00AA0E4F" w:rsidRDefault="004E1B5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4427" w:type="dxa"/>
            <w:gridSpan w:val="5"/>
          </w:tcPr>
          <w:p w14:paraId="430E3EC7" w14:textId="433F921B" w:rsidR="004E1B52" w:rsidRPr="00AA0E4F" w:rsidRDefault="00AA0E4F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Word Families</w:t>
            </w:r>
          </w:p>
          <w:p w14:paraId="34BA4814" w14:textId="10468EA4" w:rsidR="00AA0E4F" w:rsidRPr="00AA0E4F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Word families based on common words, showing how words are related in form and meaning [for example, solve, solution, solver, dissolve, insoluble] </w:t>
            </w:r>
          </w:p>
          <w:p w14:paraId="4082F7FE" w14:textId="77777777" w:rsidR="004E1B52" w:rsidRPr="00AA0E4F" w:rsidRDefault="004E1B5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14:paraId="3E34C872" w14:textId="6B44C468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A0E4F">
              <w:rPr>
                <w:rFonts w:ascii="Twinkl" w:hAnsi="Twinkl"/>
                <w:b/>
                <w:color w:val="92D050"/>
                <w:sz w:val="20"/>
                <w:szCs w:val="20"/>
              </w:rPr>
              <w:t>Prefixes</w:t>
            </w:r>
          </w:p>
          <w:p w14:paraId="482FBDFF" w14:textId="77777777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264E9F6A" w14:textId="6A98AEFC" w:rsidR="00AA0E4F" w:rsidRPr="00AA0E4F" w:rsidRDefault="00AA0E4F" w:rsidP="00AA0E4F">
            <w:pPr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  <w:r w:rsidRPr="00AA0E4F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Formation of nouns using a range of prefixes [for example super–, anti–, auto–] </w:t>
            </w:r>
          </w:p>
          <w:p w14:paraId="3332EB9C" w14:textId="77777777" w:rsidR="00AA0E4F" w:rsidRPr="00AA0E4F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6D020F11" w14:textId="7713752B" w:rsidR="004E1B52" w:rsidRPr="00AA0E4F" w:rsidRDefault="004E1B5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</w:tr>
    </w:tbl>
    <w:p w14:paraId="5D0C5F40" w14:textId="78B2B7BB" w:rsidR="00AA0E4F" w:rsidRPr="00AA0E4F" w:rsidRDefault="00597FC9" w:rsidP="00AA0E4F">
      <w:pPr>
        <w:rPr>
          <w:rFonts w:ascii="Twinkl" w:hAnsi="Twinkl"/>
        </w:rPr>
      </w:pPr>
      <w:r>
        <w:rPr>
          <w:rFonts w:ascii="Twinkl" w:hAnsi="Twinkl"/>
        </w:rPr>
        <w:t>Rodmersham</w:t>
      </w:r>
      <w:r w:rsidR="00AA0E4F" w:rsidRPr="00AA0E4F">
        <w:rPr>
          <w:rFonts w:ascii="Twinkl" w:hAnsi="Twinkl"/>
        </w:rPr>
        <w:t xml:space="preserve"> School</w:t>
      </w:r>
    </w:p>
    <w:p w14:paraId="59D6BC84" w14:textId="504A136B" w:rsidR="00AA0E4F" w:rsidRPr="00AA0E4F" w:rsidRDefault="00AA0E4F" w:rsidP="00AA0E4F">
      <w:pPr>
        <w:rPr>
          <w:rFonts w:ascii="Twinkl" w:hAnsi="Twinkl"/>
        </w:rPr>
      </w:pPr>
      <w:r w:rsidRPr="00AA0E4F">
        <w:rPr>
          <w:rFonts w:ascii="Twinkl" w:hAnsi="Twinkl"/>
        </w:rPr>
        <w:t>Grammar Scheme of Work Year 3</w:t>
      </w:r>
    </w:p>
    <w:p w14:paraId="5551D4D3" w14:textId="3E6FAB53" w:rsidR="00E20FB2" w:rsidRPr="00E20FB2" w:rsidRDefault="00E20FB2" w:rsidP="00AA0E4F">
      <w:pPr>
        <w:rPr>
          <w:rFonts w:ascii="Twinkl" w:hAnsi="Twinkl"/>
        </w:rPr>
      </w:pPr>
    </w:p>
    <w:sectPr w:rsidR="00E20FB2" w:rsidRPr="00E20FB2" w:rsidSect="00E20FB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B2"/>
    <w:rsid w:val="000D3185"/>
    <w:rsid w:val="002F7B3C"/>
    <w:rsid w:val="003F5E19"/>
    <w:rsid w:val="004B76E8"/>
    <w:rsid w:val="004E1B52"/>
    <w:rsid w:val="005409E3"/>
    <w:rsid w:val="00597FC9"/>
    <w:rsid w:val="00783C1A"/>
    <w:rsid w:val="00933D17"/>
    <w:rsid w:val="009870DF"/>
    <w:rsid w:val="009C5E6E"/>
    <w:rsid w:val="00A029BA"/>
    <w:rsid w:val="00AA0E4F"/>
    <w:rsid w:val="00B276CF"/>
    <w:rsid w:val="00B97E23"/>
    <w:rsid w:val="00E20FB2"/>
    <w:rsid w:val="00EE6295"/>
    <w:rsid w:val="00F24E17"/>
    <w:rsid w:val="00F5608B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98F8"/>
  <w15:chartTrackingRefBased/>
  <w15:docId w15:val="{563E3744-B493-9546-B023-4C6A95F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4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McMullon</cp:lastModifiedBy>
  <cp:revision>2</cp:revision>
  <dcterms:created xsi:type="dcterms:W3CDTF">2022-01-20T08:29:00Z</dcterms:created>
  <dcterms:modified xsi:type="dcterms:W3CDTF">2022-01-20T08:29:00Z</dcterms:modified>
</cp:coreProperties>
</file>